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9" w:rsidRDefault="003120E9" w:rsidP="003120E9">
      <w:pPr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SEQ </w:instrText>
      </w:r>
      <w:r>
        <w:rPr>
          <w:rFonts w:hint="eastAsia"/>
          <w:sz w:val="24"/>
        </w:rPr>
        <w:instrText>附件</w:instrText>
      </w:r>
      <w:r>
        <w:rPr>
          <w:rFonts w:hint="eastAsia"/>
          <w:sz w:val="24"/>
        </w:rPr>
        <w:instrText xml:space="preserve"> \* ARABIC</w:instrText>
      </w:r>
      <w:r>
        <w:rPr>
          <w:sz w:val="24"/>
        </w:rPr>
        <w:fldChar w:fldCharType="separate"/>
      </w:r>
      <w:r>
        <w:rPr>
          <w:noProof/>
          <w:sz w:val="24"/>
        </w:rPr>
        <w:t>2</w:t>
      </w:r>
      <w:r>
        <w:rPr>
          <w:sz w:val="24"/>
        </w:rPr>
        <w:fldChar w:fldCharType="end"/>
      </w:r>
      <w:r>
        <w:rPr>
          <w:rFonts w:ascii="方正小标宋简体" w:eastAsia="方正小标宋简体" w:hAnsi="华文中宋" w:hint="eastAsia"/>
          <w:bCs/>
          <w:kern w:val="0"/>
          <w:sz w:val="24"/>
          <w:szCs w:val="38"/>
        </w:rPr>
        <w:t>：</w:t>
      </w:r>
    </w:p>
    <w:p w:rsidR="003120E9" w:rsidRDefault="003120E9" w:rsidP="003120E9">
      <w:pPr>
        <w:spacing w:line="4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目  录（范例）</w:t>
      </w:r>
    </w:p>
    <w:bookmarkEnd w:id="0"/>
    <w:p w:rsidR="003120E9" w:rsidRDefault="003120E9" w:rsidP="003120E9">
      <w:pPr>
        <w:spacing w:line="400" w:lineRule="exact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3120E9" w:rsidRDefault="003120E9" w:rsidP="003120E9">
      <w:pPr>
        <w:widowControl/>
        <w:spacing w:line="500" w:lineRule="exact"/>
        <w:ind w:firstLine="561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《传播学》教学大纲中基本教学内容共</w:t>
      </w:r>
      <w:r>
        <w:rPr>
          <w:rFonts w:ascii="仿宋_GB2312" w:eastAsia="仿宋_GB2312" w:hint="eastAsia"/>
          <w:kern w:val="0"/>
          <w:sz w:val="28"/>
          <w:szCs w:val="28"/>
        </w:rPr>
        <w:t>13</w:t>
      </w:r>
      <w:r>
        <w:rPr>
          <w:rFonts w:ascii="仿宋_GB2312" w:eastAsia="仿宋_GB2312" w:hAnsi="宋体" w:hint="eastAsia"/>
          <w:kern w:val="0"/>
          <w:sz w:val="28"/>
          <w:szCs w:val="28"/>
        </w:rPr>
        <w:t>章，此次教学设计的</w:t>
      </w:r>
      <w:r>
        <w:rPr>
          <w:rFonts w:ascii="仿宋_GB2312" w:eastAsia="仿宋_GB2312" w:hint="eastAsia"/>
          <w:kern w:val="0"/>
          <w:sz w:val="28"/>
          <w:szCs w:val="28"/>
        </w:rPr>
        <w:t>20</w:t>
      </w:r>
      <w:r>
        <w:rPr>
          <w:rFonts w:ascii="仿宋_GB2312" w:eastAsia="仿宋_GB2312" w:hAnsi="宋体" w:hint="eastAsia"/>
          <w:kern w:val="0"/>
          <w:sz w:val="28"/>
          <w:szCs w:val="28"/>
        </w:rPr>
        <w:t>个节段分别选自第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11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kern w:val="0"/>
          <w:sz w:val="28"/>
          <w:szCs w:val="28"/>
        </w:rPr>
        <w:t>等九章。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传播的定义和特点</w:t>
      </w:r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</w:t>
      </w:r>
    </w:p>
    <w:p w:rsidR="003120E9" w:rsidRDefault="003120E9" w:rsidP="003120E9">
      <w:pPr>
        <w:widowControl/>
        <w:spacing w:line="50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选自第一章：传播与传播学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2.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符号的定义、分类、基本功能</w:t>
      </w:r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kern w:val="0"/>
          <w:sz w:val="28"/>
          <w:szCs w:val="28"/>
        </w:rPr>
        <w:t>…</w:t>
      </w:r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2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选自第三章：符号与意义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第一节：符号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3.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象征性社会互动与传播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3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选自第三章：符号与意义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第三节：象征性社会互动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4.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作为社会心理过程的人内传播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4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第一节：人内传播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5.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人际传播的特点和社会功能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5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第二节：人际传播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6.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群体传播及其内部机制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</w:t>
      </w:r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6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第三节：群体传播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7.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集合行为的传播机制</w:t>
      </w:r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7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第三节：群体传播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8.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大众传播、信息环境与人的行为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8</w:t>
      </w:r>
    </w:p>
    <w:p w:rsidR="003120E9" w:rsidRDefault="003120E9" w:rsidP="003120E9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第四节：大众传播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9.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传播的社会功能</w:t>
      </w:r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9</w:t>
      </w:r>
    </w:p>
    <w:p w:rsidR="003120E9" w:rsidRDefault="003120E9" w:rsidP="003120E9">
      <w:pPr>
        <w:widowControl/>
        <w:spacing w:line="50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选自第六章：传播的功能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第二节：传播的社会功能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10.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把关人和把关理论</w:t>
      </w:r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10</w:t>
      </w:r>
    </w:p>
    <w:p w:rsidR="003120E9" w:rsidRDefault="003120E9" w:rsidP="003120E9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选自第七章：传播者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第二节：媒介组织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11.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报刊的四种理论</w:t>
      </w:r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11</w:t>
      </w:r>
    </w:p>
    <w:p w:rsidR="003120E9" w:rsidRDefault="003120E9" w:rsidP="003120E9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选自第七章：传播者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第三节：传播制度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12.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麦克卢汉的“媒介决定论”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12</w:t>
      </w:r>
    </w:p>
    <w:p w:rsidR="003120E9" w:rsidRDefault="003120E9" w:rsidP="003120E9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选自第九章：传播媒介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第二节：传播媒介理论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13.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“电视人”、“容器人”和“他律性欲望主义”</w:t>
      </w:r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 xml:space="preserve"> ……</w:t>
      </w:r>
      <w:proofErr w:type="gramStart"/>
      <w:r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13</w:t>
      </w:r>
    </w:p>
    <w:p w:rsidR="003120E9" w:rsidRDefault="003120E9" w:rsidP="003120E9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选自第九章：传播媒介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第三节：大众传播媒介的社会影响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14.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“使用与满足”理论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14</w:t>
      </w:r>
    </w:p>
    <w:p w:rsidR="003120E9" w:rsidRDefault="003120E9" w:rsidP="003120E9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选自第十章：受众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第三节：“使用与满足”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15.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“传播流”研究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15</w:t>
      </w:r>
    </w:p>
    <w:p w:rsidR="003120E9" w:rsidRDefault="003120E9" w:rsidP="003120E9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16.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大众传播与环境认知</w:t>
      </w:r>
      <w:r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“议程设置功能”理论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16</w:t>
      </w:r>
    </w:p>
    <w:p w:rsidR="003120E9" w:rsidRDefault="003120E9" w:rsidP="003120E9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17.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大众传播的潜移默化效果</w:t>
      </w:r>
      <w:r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“培养”理论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17</w:t>
      </w:r>
    </w:p>
    <w:p w:rsidR="003120E9" w:rsidRDefault="003120E9" w:rsidP="003120E9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18.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大众传播、社会心理与舆论</w:t>
      </w:r>
      <w:r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“沉默的螺旋”理论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18</w:t>
      </w:r>
    </w:p>
    <w:p w:rsidR="003120E9" w:rsidRDefault="003120E9" w:rsidP="003120E9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19.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传播技巧与传播效果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19</w:t>
      </w:r>
    </w:p>
    <w:p w:rsidR="003120E9" w:rsidRDefault="003120E9" w:rsidP="003120E9">
      <w:pPr>
        <w:widowControl/>
        <w:spacing w:line="500" w:lineRule="exact"/>
        <w:ind w:leftChars="132" w:left="277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第三节：传播效果的产生过程与制约因素</w:t>
      </w:r>
    </w:p>
    <w:p w:rsidR="003120E9" w:rsidRDefault="003120E9" w:rsidP="003120E9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20.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传播学的经验学派</w:t>
      </w:r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</w:t>
      </w:r>
      <w:proofErr w:type="gramEnd"/>
      <w:r>
        <w:rPr>
          <w:rFonts w:ascii="仿宋_GB2312" w:eastAsia="仿宋_GB2312" w:hint="eastAsia"/>
          <w:bCs/>
          <w:kern w:val="0"/>
          <w:sz w:val="28"/>
          <w:szCs w:val="28"/>
        </w:rPr>
        <w:t>20</w:t>
      </w:r>
    </w:p>
    <w:p w:rsidR="003120E9" w:rsidRDefault="003120E9" w:rsidP="003120E9">
      <w:pPr>
        <w:spacing w:line="500" w:lineRule="exact"/>
        <w:ind w:firstLineChars="200"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选自第十二章：传播学两大学派</w:t>
      </w:r>
      <w:r>
        <w:rPr>
          <w:rFonts w:ascii="仿宋_GB2312" w:eastAsia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第一节：传播学的经验学派</w:t>
      </w:r>
    </w:p>
    <w:p w:rsidR="008C6AF0" w:rsidRPr="003120E9" w:rsidRDefault="008C6AF0" w:rsidP="003120E9">
      <w:pPr>
        <w:widowControl/>
        <w:jc w:val="left"/>
        <w:rPr>
          <w:rFonts w:ascii="方正小标宋简体" w:eastAsia="方正小标宋简体" w:hAnsi="华文中宋"/>
          <w:bCs/>
          <w:kern w:val="0"/>
          <w:sz w:val="24"/>
          <w:szCs w:val="38"/>
        </w:rPr>
      </w:pPr>
    </w:p>
    <w:sectPr w:rsidR="008C6AF0" w:rsidRPr="0031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9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20E9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2017-11-21T00:34:00Z</dcterms:created>
  <dcterms:modified xsi:type="dcterms:W3CDTF">2017-11-21T00:34:00Z</dcterms:modified>
</cp:coreProperties>
</file>